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56B55" w:rsidRDefault="002D670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spacing w:before="240" w:line="240" w:lineRule="auto"/>
        <w:ind w:right="-74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Provincia de Buenos Aires - Dirección General de Cultura y Educación - Dirección de Educación Superior Instituto Superior de Formación Docente y Técnica Nº 46 “2 de abril de 1982”</w:t>
      </w:r>
    </w:p>
    <w:p w14:paraId="00000002" w14:textId="77777777" w:rsidR="00056B55" w:rsidRDefault="002D670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Sede: Pueyrredón 1250 - Sub-sede: Pueyrredón 914 - Ramos Mejía - La Matanza</w:t>
      </w:r>
    </w:p>
    <w:p w14:paraId="00000003" w14:textId="77777777" w:rsidR="00056B55" w:rsidRDefault="0069246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hyperlink r:id="rId5">
        <w:r w:rsidR="002D6701">
          <w:rPr>
            <w:rFonts w:ascii="Times New Roman" w:eastAsia="Times New Roman" w:hAnsi="Times New Roman" w:cs="Times New Roman"/>
            <w:color w:val="0000FF"/>
            <w:sz w:val="32"/>
            <w:szCs w:val="32"/>
          </w:rPr>
          <w:t>www.instituto46.edu.ar</w:t>
        </w:r>
      </w:hyperlink>
      <w:r w:rsidR="002D6701">
        <w:rPr>
          <w:rFonts w:ascii="Times New Roman" w:eastAsia="Times New Roman" w:hAnsi="Times New Roman" w:cs="Times New Roman"/>
          <w:sz w:val="32"/>
          <w:szCs w:val="32"/>
        </w:rPr>
        <w:t xml:space="preserve"> - @instituo.46</w:t>
      </w:r>
    </w:p>
    <w:p w14:paraId="00000004" w14:textId="77777777" w:rsidR="00056B55" w:rsidRDefault="002D670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</w:r>
    </w:p>
    <w:p w14:paraId="00000005" w14:textId="05637528" w:rsidR="00056B55" w:rsidRDefault="002D670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b/>
          <w:sz w:val="26"/>
          <w:szCs w:val="26"/>
        </w:rPr>
        <w:t>CARRERA: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  <w:sz w:val="26"/>
          <w:szCs w:val="26"/>
        </w:rPr>
        <w:t>HISTORIA</w:t>
      </w:r>
      <w:r>
        <w:rPr>
          <w:b/>
          <w:sz w:val="26"/>
          <w:szCs w:val="26"/>
        </w:rPr>
        <w:br/>
        <w:t xml:space="preserve"> ESPACIO CURRICULAR: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  <w:sz w:val="28"/>
          <w:szCs w:val="28"/>
        </w:rPr>
        <w:t xml:space="preserve">PSICOLOGÍA DEL APRENDIZAJE </w:t>
      </w:r>
      <w:r>
        <w:rPr>
          <w:b/>
          <w:sz w:val="28"/>
          <w:szCs w:val="28"/>
        </w:rPr>
        <w:br/>
        <w:t xml:space="preserve"> </w:t>
      </w:r>
      <w:r>
        <w:rPr>
          <w:b/>
          <w:sz w:val="26"/>
          <w:szCs w:val="26"/>
        </w:rPr>
        <w:t>CURSO: 2</w:t>
      </w:r>
      <w:r>
        <w:rPr>
          <w:b/>
          <w:sz w:val="26"/>
          <w:szCs w:val="26"/>
        </w:rPr>
        <w:br/>
        <w:t xml:space="preserve"> CICLO LECTIVO: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  <w:sz w:val="26"/>
          <w:szCs w:val="26"/>
        </w:rPr>
        <w:t>2024</w:t>
      </w:r>
      <w:r>
        <w:rPr>
          <w:b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  <w:sz w:val="26"/>
          <w:szCs w:val="26"/>
        </w:rPr>
        <w:t>CANTIDAD DE HORAS SEMANALES:</w:t>
      </w:r>
      <w:r>
        <w:rPr>
          <w:rFonts w:ascii="Times New Roman" w:eastAsia="Times New Roman" w:hAnsi="Times New Roman" w:cs="Times New Roman"/>
          <w:b/>
        </w:rPr>
        <w:t xml:space="preserve"> 2</w:t>
      </w:r>
    </w:p>
    <w:p w14:paraId="539236C1" w14:textId="5846C648" w:rsidR="00692463" w:rsidRDefault="0069246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CEJAS, NANCY</w:t>
      </w:r>
      <w:bookmarkStart w:id="0" w:name="_GoBack"/>
      <w:bookmarkEnd w:id="0"/>
    </w:p>
    <w:p w14:paraId="00000006" w14:textId="77777777" w:rsidR="00056B55" w:rsidRDefault="002D670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</w:r>
    </w:p>
    <w:p w14:paraId="00000007" w14:textId="77777777" w:rsidR="00056B55" w:rsidRDefault="002D6701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FUNCIONES DE LA CÁTEDRA</w:t>
      </w:r>
    </w:p>
    <w:p w14:paraId="00000008" w14:textId="77777777" w:rsidR="00056B55" w:rsidRDefault="002D670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propósito de esta cátedra es comprender, describir y caracterizar los aportes de las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teóricas y modelos psicológicos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relación al aprendizaje, haciendo hincapié en los sujetos de la educación focalizando en los procesos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desarrollo subjetivo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la construcción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conocimiento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En un mundo contemporáneo, atravesado por el impacto en la subjetividad del medio ambiente y la tecnología. </w:t>
      </w:r>
    </w:p>
    <w:p w14:paraId="00000009" w14:textId="77777777" w:rsidR="00056B55" w:rsidRDefault="002D670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trata de brindar herramientas conceptuales y metodológicas que permitan pensar a la escuela como el espacio propicio para el desarrollo del conocimiento en un mundo contemporáneo. Al perfil de egresados aporta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conocimientos  individual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 social para el abordaje de los procesos de enseñanza y aprendizaje </w:t>
      </w:r>
    </w:p>
    <w:p w14:paraId="0000000A" w14:textId="77777777" w:rsidR="00056B55" w:rsidRDefault="002D670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Tiene por finalidad proporcionar una formación que les posibilite a las futuras profesoras y los futuros profesores comprenderse en el marco de las transformaciones sociales,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como  trabajadores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las culturas, intelectuales comprometidas y comprometidos con la igualdad y garantes del derecho a la educación, en tanto agentes del Estado</w:t>
      </w:r>
    </w:p>
    <w:p w14:paraId="0000000B" w14:textId="77777777" w:rsidR="00056B55" w:rsidRDefault="00056B5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056B55" w:rsidRDefault="002D6701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FUNDAMENTACIÓN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Subjetividad, Diversidad y Educación”</w:t>
      </w:r>
    </w:p>
    <w:p w14:paraId="0000000D" w14:textId="77777777" w:rsidR="00056B55" w:rsidRDefault="002D670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 materia se encuentra en el nuevo diseño para la formación docente tomamos como ejes primordiales: La centralidad de la enseñanza, como acción que ocupa el centro de la tarea educativa y del trabajo docente. Comprender las Transformaciones sociales contemporáneas: perspectivas de género, ambiental y cultura digital, como temas y problemas que interpelan las prácticas educativas. Poder situar estas prácticas relacionadas con las construcciones políticas, culturales y pedagógicas desde América Latina, Argentina y la provincia de Buenos Aires, como forma de tensionar la supuesta universalidad de los conocimientos, interpelar los lugares desde los que se enuncian e impulsar la construcción de problemas y saberes situados </w:t>
      </w:r>
    </w:p>
    <w:p w14:paraId="0000000E" w14:textId="77777777" w:rsidR="00056B55" w:rsidRDefault="002D670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 cátedra de Psicología propone las líneas teóricas de esta ciencia, tomando los principales aportes, para la comprensión del sujeto que aprende.  Entendiendo 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aprendizaje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como un proceso de representación interna, que resulta de una actividad sociocultural,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-construida y colaborativa.  Se reconoce el carácter de constructo en los procesos de adquisición del conocimiento. Esto mismo lleva a valorar el propio proceso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parendizaje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Se abordarán los antecedentes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  psicología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científica y el contexto de su reconocimiento como ciencia. Su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pluralidad,  objetos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estudio, métodos, y debates epistemológicos en torno a su definición, desde el paradigma de la complejidad.</w:t>
      </w:r>
    </w:p>
    <w:p w14:paraId="0000000F" w14:textId="77777777" w:rsidR="00056B55" w:rsidRDefault="002D670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“La construcción de la subjetividad desde la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Psicología”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estudio del sujeto situado, concreto, real e histórico y los mitos y antinomias que obstaculizan su concepción.  La socialización como proceso de transmisión de bienes culturales, los lineamientos socio - históricos en el surgimiento de la educación pública, el agotamiento de las instituciones de la modernidad y los efectos traducidos en los cambios socioculturales que enmarcan la actualidad escolar. 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sujeto como sujeto de derecho y la función de la escuela para la garantía y protección de los derechos de niñas/os/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es  y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adolescentes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0" w14:textId="77777777" w:rsidR="00056B55" w:rsidRDefault="002D670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“El Sujeto de la educación. Aprendizaje y desarrollo”,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prioriza el acercamiento a los aportes de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psicología a la educación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las teorías sobre 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pensamiento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humano y la formación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conceptos 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partir de los aportes teóricos de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Gestalt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Psicología Genética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la Teoría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Socio Histórica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Teoría Cognitiva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1" w14:textId="77777777" w:rsidR="00056B55" w:rsidRDefault="002D670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teoría constructivista genética desarrollada por Jean Piaget, quien plantea en el campo de la teoría del conocimiento y de la psicología. Sus investigaciones permiten comprender los procesos cognitivos en el desarrollo humano. Las teóricas que aborda la Psicología de la Educación y de las problemáticas que de ella se suscitan, y un abordaje específico del sujeto de la educación secundaria.</w:t>
      </w:r>
    </w:p>
    <w:p w14:paraId="00000012" w14:textId="77777777" w:rsidR="00056B55" w:rsidRDefault="002D670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Múltiples espacios  sociales, equipamientos mediático-tecnológicos y textos culturales generan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disposiciones subjetivas y variadas lecturas de la experiencia, de la vida y del mundo  que los rodea. Esto produce, a su vez, una transformación en la sensibilidad, 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las  formas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percepción,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 las expectativas, en los intereses, en la memoria, en las  formas de atención, etcétera. Cuestión que hace evidente una distancia entre 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cultura  escolar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 la cultura mediática (cf.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Huergo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2000).</w:t>
      </w:r>
    </w:p>
    <w:p w14:paraId="00000013" w14:textId="77777777" w:rsidR="00056B55" w:rsidRDefault="002D670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Abordaje transversal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“Los grupos humanos y sus dinámicas en contextos escolares”,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la aplicación de técnicas grupales en el proceso de enseñanza y aprendizaje colaborativo.</w:t>
      </w:r>
    </w:p>
    <w:p w14:paraId="00000014" w14:textId="77777777" w:rsidR="00056B55" w:rsidRDefault="002D670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necesidad de la reflexión crítica en educación alcanza tanto a los nuevos como a los experimentados docentes. Los futuros alumnos/as de los docentes en formación, son interpelados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constantemente  por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múltiples discursos. Centralmente son sujetos de una cultura mediática y se alfabetizan desde una situación cultural de tecnicidad, que ha hecho posible hablar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  alfabetizaciones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posmodernas o múltiples (cf. McLaren, 1994). </w:t>
      </w:r>
    </w:p>
    <w:p w14:paraId="00000015" w14:textId="77777777" w:rsidR="00056B55" w:rsidRDefault="002D670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La multiplicación y la densificación cotidiana de las tecnologías comunicativas y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  información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generan nuevos lenguajes y escrituras que las tecnologías catalizan y  desarrollan. Esto hace reconocible entre los jóvenes, diversas empatías cognitivas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  expresivas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 las tecnologías, y nuevos modos de percibir el espacio y el tiempo, la  velocidad y la lentitud, lo lejano y lo cercano. </w:t>
      </w:r>
    </w:p>
    <w:p w14:paraId="00000016" w14:textId="77777777" w:rsidR="00056B55" w:rsidRDefault="002D670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En este escenario, los futuros docentes necesitan formarse como profesionales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  plasticidad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que puedan construir herramientas que le permitan lograr la adaptación a  los nuevos desafíos que se imponen. Desde el espacio de formación docente, abordar las nuevas configuraciones culturales de adolescencia y juventud, y en definitiva de la sociedad, entendiendo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  realidad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siempre es una construcción social</w:t>
      </w:r>
    </w:p>
    <w:p w14:paraId="00000017" w14:textId="77777777" w:rsidR="00056B55" w:rsidRDefault="00056B5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056B55" w:rsidRDefault="00056B5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056B55" w:rsidRDefault="002D670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PROPÓSITOS DEL DOCENTE</w:t>
      </w:r>
    </w:p>
    <w:p w14:paraId="0000001A" w14:textId="77777777" w:rsidR="00056B55" w:rsidRDefault="002D6701">
      <w:pPr>
        <w:numPr>
          <w:ilvl w:val="0"/>
          <w:numId w:val="2"/>
        </w:numPr>
        <w:spacing w:before="24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Conocer las teorías psicológica sobre la constitución subjetiva y el desarrollo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psicosocial  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toda su complejidad, teniendo en cuenta sus múltiples aspectos: biológico,  psicológico, sociocultural, ético, jurídico</w:t>
      </w:r>
    </w:p>
    <w:p w14:paraId="0000001B" w14:textId="77777777" w:rsidR="00056B55" w:rsidRDefault="002D6701">
      <w:pPr>
        <w:numPr>
          <w:ilvl w:val="0"/>
          <w:numId w:val="2"/>
        </w:num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Comprender las herramientas psicológicas para pensar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los  procesos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desarrollo, aprendizaje</w:t>
      </w:r>
    </w:p>
    <w:p w14:paraId="0000001C" w14:textId="77777777" w:rsidR="00056B55" w:rsidRDefault="002D6701">
      <w:pPr>
        <w:numPr>
          <w:ilvl w:val="0"/>
          <w:numId w:val="2"/>
        </w:num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Favorecer el reconocimiento de la singularidad de los procesos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constitución  subjetiva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adolescentes y jóvenes en contextos culturales diversos y el  cuestionamiento de los planteamientos de homogeneidad y normalidad en el desarrollo.</w:t>
      </w:r>
    </w:p>
    <w:p w14:paraId="0000001D" w14:textId="77777777" w:rsidR="00056B55" w:rsidRDefault="002D6701">
      <w:pPr>
        <w:numPr>
          <w:ilvl w:val="0"/>
          <w:numId w:val="2"/>
        </w:numPr>
        <w:ind w:left="425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Propiciar el análisis de las relaciones de los sujetos de la educación secundaria con  sus pares, con el mundo adulto y con la cultura en la que se integran.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00001E" w14:textId="77777777" w:rsidR="00056B55" w:rsidRDefault="002D6701">
      <w:pPr>
        <w:spacing w:before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EXPECTATIVAS DE LOGRO</w:t>
      </w:r>
    </w:p>
    <w:p w14:paraId="0000001F" w14:textId="77777777" w:rsidR="00056B55" w:rsidRDefault="002D6701">
      <w:pPr>
        <w:numPr>
          <w:ilvl w:val="0"/>
          <w:numId w:val="2"/>
        </w:numPr>
        <w:spacing w:before="24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Conocer las teorías psicológicas que brindan herramientas para el análisis 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  Comprensión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los procesos de constitución subjetiva. </w:t>
      </w:r>
    </w:p>
    <w:p w14:paraId="00000020" w14:textId="77777777" w:rsidR="00056B55" w:rsidRDefault="002D6701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Conocer las nuevas configuraciones de adolescencia a partir de las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nuevas  propuestas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teóricas. </w:t>
      </w:r>
    </w:p>
    <w:p w14:paraId="00000021" w14:textId="77777777" w:rsidR="00056B55" w:rsidRDefault="002D6701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Comprender la configuración de nuevos escenarios sociales desde los cuales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  constituyen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identidades diversas que se manifiestan en contextos escolares. </w:t>
      </w:r>
    </w:p>
    <w:p w14:paraId="00000022" w14:textId="77777777" w:rsidR="00056B55" w:rsidRDefault="002D6701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Identificar la importancia de la acción transformadora de los medios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  comunicación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 las nuevas tecnologías, en la configuración de los sujetos. </w:t>
      </w:r>
    </w:p>
    <w:p w14:paraId="00000023" w14:textId="77777777" w:rsidR="00056B55" w:rsidRDefault="002D6701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Conocer y elaborar estrategias para la resolución de conflictos dentro del aula.</w:t>
      </w:r>
    </w:p>
    <w:p w14:paraId="00000024" w14:textId="77777777" w:rsidR="00056B55" w:rsidRDefault="002D67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Comprendan las distintas teorías sobre la inteligencia y su relación con el aprendizaje y el pensamiento.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5" w14:textId="77777777" w:rsidR="00056B55" w:rsidRDefault="002D67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Reconozcan las relaciones vinculares como parte del proceso de enseñanza – aprendizaje y en especial en la tríada didáctica, teniendo en cuenta su impacto en el aula u otros ámbitos de enseñanza.</w:t>
      </w:r>
    </w:p>
    <w:p w14:paraId="00000026" w14:textId="77777777" w:rsidR="00056B55" w:rsidRDefault="002D67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apropien activamente de conceptos teóricos que les permitan desarrollar una mirada crítica acerca de su futuro rol como docentes y del contexto institucional en la realidad educativa Bonaerense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-Contenidos Y BIBLIOGRAFÍA.</w:t>
      </w:r>
    </w:p>
    <w:p w14:paraId="00000027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Unidad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Psicología,  subjetividad, diversidad y educación.</w:t>
      </w:r>
    </w:p>
    <w:p w14:paraId="00000028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Psicología como ciencia. Objeto y método. Debates epistemológicos. Contexto socio-histórico del surgimiento de las distintas concepciones. </w:t>
      </w:r>
    </w:p>
    <w:p w14:paraId="00000029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COLOMBO</w:t>
      </w:r>
      <w:r>
        <w:rPr>
          <w:rFonts w:ascii="Times New Roman" w:eastAsia="Times New Roman" w:hAnsi="Times New Roman" w:cs="Times New Roman"/>
          <w:sz w:val="24"/>
          <w:szCs w:val="24"/>
        </w:rPr>
        <w:t>, M E “El problema de la naturalización de lo que es histórico” en “Debates en Psicología”, Buenos Aires 1er edición. C.C.C. Educando (2012).</w:t>
      </w:r>
    </w:p>
    <w:p w14:paraId="0000002A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procesos de socialización y constitución subjetiva. La familia y la escuela como espacios de socialización.</w:t>
      </w:r>
    </w:p>
    <w:p w14:paraId="0000002B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SCAGLIA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H. “Psicología. Conceptos preliminares” Buenos Aires, Ed.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Eudeba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2000)p.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25-46</w:t>
      </w:r>
    </w:p>
    <w:p w14:paraId="0000002C" w14:textId="77777777" w:rsidR="00056B55" w:rsidRDefault="002D670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agotamiento de las instituciones de la modernidad. Posmodernidad: Cambios socioculturales. Escolaridad de masas integración y segregación. Políticas de exclusión e inclusión.  Globalización. Marginación. Nuevas subjetividades. Actualidad escolar. Subculturas tecnológicas y educación.</w:t>
      </w:r>
    </w:p>
    <w:p w14:paraId="0000002D" w14:textId="77777777" w:rsidR="00056B55" w:rsidRDefault="002D670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COREA, C; LEWKOWICKZ, I</w:t>
      </w:r>
      <w:r>
        <w:rPr>
          <w:rFonts w:ascii="Times New Roman" w:eastAsia="Times New Roman" w:hAnsi="Times New Roman" w:cs="Times New Roman"/>
          <w:sz w:val="24"/>
          <w:szCs w:val="24"/>
        </w:rPr>
        <w:t>. “Pedagogía del aburrido: Escuelas destituidas familias perplejas” Buenos Aires. Ed. Paidós Educador. (2004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 Cap.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0000002E" w14:textId="77777777" w:rsidR="00056B55" w:rsidRDefault="00056B5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056B55" w:rsidRDefault="002D670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Unidad El sujeto de la educación. Aprendizaje y desarrollo.</w:t>
      </w:r>
    </w:p>
    <w:p w14:paraId="00000030" w14:textId="77777777" w:rsidR="00056B55" w:rsidRDefault="002D670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Aportes de la psicología a la educación. Teorías sobre el pensamiento humano y la formación de conceptos que aprende y de la relación aprendizaje y desarrollo. Fundamentos filosóficos y epistemológicos. Aprendizaje por recepción no significativo.    El sujeto de aprendizaje desde el estructuralismo. El sujeto que conoce.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Aprendizaje reproductivo vs Aprendizaje productivo</w:t>
      </w:r>
    </w:p>
    <w:p w14:paraId="00000031" w14:textId="77777777" w:rsidR="00056B55" w:rsidRDefault="002D670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Ficha de cátedra: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Introducción a la psicología genética. Conceptos fundamentales.</w:t>
      </w:r>
    </w:p>
    <w:p w14:paraId="00000032" w14:textId="77777777" w:rsidR="00056B55" w:rsidRDefault="002D670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PIAGET, 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“El tiempo y el desarrollo intelectual del niño” y “Los estadios del desarrollo intelectual del niño y del adolescente” en “Problemas de la Psicología Genética” Ariel. Barcelona. 4ta edición 1980.</w:t>
      </w:r>
    </w:p>
    <w:p w14:paraId="00000033" w14:textId="77777777" w:rsidR="00056B55" w:rsidRDefault="002D670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 sujeto de aprendizaje desde la concepción socio- histórica: El debate epistemológico y la superación de los falsos dualismos en psicología. La concepción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Vigotskiana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aprendizaje y el desarrollo. Actividad y mediación. Los orígenes sociales de los procesos psicológicos superiores. Zona de desarrollo Próximo.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Andamiaje  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traspaso de competencias. El conocimiento compartido. Aprendizaje significativo. Aprendizaje guiado. Aprendizaje a través de pares, colaboración y dinámica de grupos.</w:t>
      </w:r>
    </w:p>
    <w:p w14:paraId="00000034" w14:textId="77777777" w:rsidR="00056B55" w:rsidRDefault="002D670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El sujeto de aprendizaje desde el cognitivismo: Contexto socio - histórico. Debate epistemológico. El aprendizaje significativo de Ausubel. Aprendizaje no significativo. Aprendizaje por recepción, descubrimiento autónomo y descubrimiento guiado.</w:t>
      </w:r>
    </w:p>
    <w:p w14:paraId="00000035" w14:textId="77777777" w:rsidR="00056B55" w:rsidRDefault="002D670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CASTORINA, J.A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“Clase 9. El pensamiento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Vigotski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en “Psicología y Epistemología Genéticas”. Buenos Aires. Lugar Editorial. (2012).</w:t>
      </w:r>
    </w:p>
    <w:p w14:paraId="00000036" w14:textId="77777777" w:rsidR="00056B55" w:rsidRDefault="002D670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VIGOTSKI, 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“Internalización de las funciones psicológicas superiores” y “Interacción entre aprendizaje y desarrollo” en “Los procesos psicológicos superiores”. Barcelona. Grupo Editorial Grijalbo. 1997.</w:t>
      </w:r>
    </w:p>
    <w:p w14:paraId="00000037" w14:textId="77777777" w:rsidR="00056B55" w:rsidRDefault="002D670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EURASQUIN C Y ZABALETA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“Relaciones entre aprendizaje y desarrollo. Modelos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teóricos  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implicancias educativas. Agenda de problemas epistémicos, políticos, éticos, en el cruce de fronteras entre psicología y educación”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  Vol.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III - Temas en Psicología - Anuario 2016.</w:t>
      </w:r>
    </w:p>
    <w:p w14:paraId="00000038" w14:textId="77777777" w:rsidR="00056B55" w:rsidRDefault="002D670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MINISTERIO DE EDUCACIÓN</w:t>
      </w:r>
      <w:r>
        <w:rPr>
          <w:rFonts w:ascii="Times New Roman" w:eastAsia="Times New Roman" w:hAnsi="Times New Roman" w:cs="Times New Roman"/>
          <w:sz w:val="24"/>
          <w:szCs w:val="24"/>
        </w:rPr>
        <w:t>.  “La perspectiva del aprendizaje significativo” en “Enseñar a pensar en la escuela”.</w:t>
      </w:r>
    </w:p>
    <w:p w14:paraId="00000039" w14:textId="77777777" w:rsidR="00056B55" w:rsidRDefault="00056B5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056B55" w:rsidRDefault="00056B5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056B55" w:rsidRDefault="002D670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 Los grupos humanos y sus dinámicas en contextos escolares, la Diversidad </w:t>
      </w:r>
    </w:p>
    <w:p w14:paraId="0000003C" w14:textId="77777777" w:rsidR="00056B55" w:rsidRDefault="002D670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 un grupo? Los grupos humanos y su dinámica. Aprendizaje a través de pares, competencia y colaboración, dinámica de grupos. Qué es la educación inclusiva como derecho. El trabajo corresponsable con otros actores institucionales y con las modalidades del Sistema Educativo. Dispositivos de intervención compartidos y situados. La inclusión de jóvenes en situación de discapacidad transitoria o permanente y el principio de normalización.</w:t>
      </w:r>
    </w:p>
    <w:p w14:paraId="0000003D" w14:textId="77777777" w:rsidR="00056B55" w:rsidRDefault="002D670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SOUTO,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“Lo Grupal,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los grupos en las situaciones de enseñanza” en “Hacia una didáctica de lo grupal” Miño y Dávila editores. Primera Edición 1993.</w:t>
      </w:r>
    </w:p>
    <w:p w14:paraId="0000003E" w14:textId="77777777" w:rsidR="00056B55" w:rsidRDefault="002D670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CIRIGLIANO, G; VILLAVERDE,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“Técnicas de Grupo aplicables en Educación” en “Dinámica de Grupos y Educación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” .Buenos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Aires. Editorial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pp. 78 – 83. Selección de técnicas grupales. (1967)</w:t>
      </w:r>
    </w:p>
    <w:p w14:paraId="0000003F" w14:textId="77777777" w:rsidR="00056B55" w:rsidRDefault="00056B5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056B55" w:rsidRDefault="002D670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-INTERVENCIÓN DIDÁCTICA</w:t>
      </w:r>
    </w:p>
    <w:p w14:paraId="00000041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recorrido teórico/práctico se propone desde la indagación de las inquietudes, debates y reflexiones a través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los clases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para ello se conformarán grupos de trabajo, donde se propondrá la modalidad de lectura compartida, ver materiales audiovisuales, y a partir de allí poder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deconstruir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los malestares de las culturas escolares que habitan, y pensar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estrategías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2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unidad curricular tendrá una duración de dos horas presenciales y su modalidad incluirá clases de tipo dialogada y confrontación de producción de los y las estudiantes, de lo comprendido en la participación de los talleres que se le propongan, del armado de sus propios talleres.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caldeamientos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y estrategias lúdicas para el aula)</w:t>
      </w:r>
    </w:p>
    <w:p w14:paraId="00000043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Cada encuentro tendrá momentos de presentación de temas y objetivos del mismo, discusión, técnicas grupales, conceptualización y síntesis. Se utilizarán las siguientes técnicas: rastreo de ideas previas, lluvia de ideas, problematización del discurso social común, trabajo en pequeños grupos, confrontación de opiniones, construcción de tesis y argumentos, lectura crítica de materiales, rastreo de información, producción de mapas y redes conceptuales, análisis de material audiovisual y producción de materiales creativos y didácticos afines a la problematización de la temática.</w:t>
      </w:r>
    </w:p>
    <w:p w14:paraId="00000044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45" w14:textId="77777777" w:rsidR="00056B55" w:rsidRDefault="00056B5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6" w14:textId="77777777" w:rsidR="00056B55" w:rsidRDefault="00056B5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7" w14:textId="77777777" w:rsidR="00056B55" w:rsidRDefault="002D670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-PRESUPUESTO DE TIEMPO</w:t>
      </w:r>
    </w:p>
    <w:p w14:paraId="00000048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Primer Cuatrimestre:  dos primeras Unidades</w:t>
      </w:r>
    </w:p>
    <w:p w14:paraId="00000049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cuatrimestre: unidad sobre diversidad y práctica con Educación Especial </w:t>
      </w:r>
    </w:p>
    <w:p w14:paraId="0000004A" w14:textId="77777777" w:rsidR="00056B55" w:rsidRDefault="00056B5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056B55" w:rsidRDefault="002D670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-IMPACTO EN EL ESPACIO DE LA PRÁCTICA</w:t>
      </w:r>
    </w:p>
    <w:p w14:paraId="0000004C" w14:textId="77777777" w:rsidR="00056B55" w:rsidRDefault="002D670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Partiendo de prácticas. Inclusivas y situadas de las trayectorias escolares, el abordaje del pensamiento en las Pubertades y Adolescencias, se propone realizar un trabajo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campo con les estudiantes de Educación Superior del profesorado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Historia  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docentes en ejercicio de Educación Especial en articulación con escuelas Secundarias- </w:t>
      </w:r>
    </w:p>
    <w:p w14:paraId="0000004D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 una finalidad de la Formación Docente el análisis y vinculación de los conocimientos científicos, artísticos de nuestra comunidad. Nuestra institución es formadora de futuros/as/es docentes y por ello, el acceso a conocer experiencias de este tipo, fortalecen el aprendizaje.</w:t>
      </w:r>
    </w:p>
    <w:p w14:paraId="0000004E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espacio propone comprendiendo las sociedades complejas y espacios escolares que habitamos. Desde perspectivas interdisciplinarias donde se abordan las problemáticas, por ellos el marco teórico propuesto en la bibliografía aborda los conceptos antes mencionados tales como Prácticas Inclusivas y situadas; trayectorias escolares, pensamiento en las Pubertades y Adolescencias. Para cuestionar las nociones de Normalidad</w:t>
      </w:r>
    </w:p>
    <w:p w14:paraId="0000004F" w14:textId="77777777" w:rsidR="00056B55" w:rsidRDefault="002D6701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-EVALUACIÓN: </w:t>
      </w:r>
    </w:p>
    <w:p w14:paraId="00000050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proyecto se sustenta en una concepción de evaluación formativa, continua e integral. Se evaluará durante todo el proceso, con propuestas de auto evaluación, coevaluación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heteroevaluación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Los aportes y reflexiones permitirán el permanente reajuste de las temáticas, la conciencia del avance en el proceso de comprensión, la construcción de saberes en interacción con los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otros.Esta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propuesta evaluativa se posiciona en la idea que la tarea docente debe fundarse en una praxis donde la fundamentación teórica, la práctica y su análisis, enriquecen la mirada pedagógica permitiendo explicitar teorías y supuestos que subyacen en toda situación de enseñanza.</w:t>
      </w:r>
    </w:p>
    <w:p w14:paraId="00000051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Evaluación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diagnóstica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Se propondrá la indagación de saberes previos y sistema de creencias en torno los procesos subjetivos particulares de las infancias.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 tomará como insumo de análisis sus experiencias en la Formación Básica y distintas instancias de aprendizaje no formal.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52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Evaluación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formativa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Como se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trata de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una propuesta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teórica y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práctica se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considerará el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desempeño de los estudiantes en distintas instancias de la cursada</w:t>
      </w:r>
    </w:p>
    <w:p w14:paraId="00000053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°Seguimiento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proceso de aprendizajes: comprensión de conceptos centrales,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interrelación de los conceptos con situaciones de escenas escolares-casos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áulicos.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° Participación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y desempeño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individual en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las diferentes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propuestas de trabajo: interrogaciones, exposiciones, debate, análisis crítico, Producciones grupales.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Desempeño, comunicación, intervención y resolución de problemas.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</w:p>
    <w:p w14:paraId="00000054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Evaluación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sumativa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Las instancias de evaluación final serán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 producto del seguimiento transitado durante todo el año y de las distintas instancias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  trabajo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5" w14:textId="77777777" w:rsidR="00056B55" w:rsidRDefault="002D67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Presentación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 los trabajos en el campus virtual.</w:t>
      </w:r>
    </w:p>
    <w:p w14:paraId="00000056" w14:textId="77777777" w:rsidR="00056B55" w:rsidRDefault="002D67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Participación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en instancias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 debate / reflexión.</w:t>
      </w:r>
    </w:p>
    <w:p w14:paraId="00000057" w14:textId="77777777" w:rsidR="00056B55" w:rsidRDefault="002D67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Elaboración y presentación de un trabajo integrador de carácter grupal en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relación a una temática escolar propuesta por la docente.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58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CRITERIOS DE EVALUACIÓN:</w:t>
      </w:r>
    </w:p>
    <w:p w14:paraId="00000059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la evaluación se tomará en cuenta:</w:t>
      </w:r>
    </w:p>
    <w:p w14:paraId="0000005A" w14:textId="77777777" w:rsidR="00056B55" w:rsidRDefault="002D6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asistencia a las clases presenciales y participación en el campus virtual.</w:t>
      </w:r>
    </w:p>
    <w:p w14:paraId="0000005B" w14:textId="77777777" w:rsidR="00056B55" w:rsidRDefault="002D6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realización de actividades de evaluación en el campus virtual.</w:t>
      </w:r>
    </w:p>
    <w:p w14:paraId="0000005C" w14:textId="77777777" w:rsidR="00056B55" w:rsidRDefault="002D6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presentación en tiempo y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forma de los trabajos requeridos.</w:t>
      </w:r>
    </w:p>
    <w:p w14:paraId="0000005D" w14:textId="77777777" w:rsidR="00056B55" w:rsidRDefault="002D6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apropiación de los contenidos trabajados.</w:t>
      </w:r>
    </w:p>
    <w:p w14:paraId="0000005E" w14:textId="77777777" w:rsidR="00056B55" w:rsidRDefault="002D6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reflexión crítica de los textos.</w:t>
      </w:r>
    </w:p>
    <w:p w14:paraId="0000005F" w14:textId="77777777" w:rsidR="00056B55" w:rsidRDefault="002D6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 posibilidades de reflexión sobre la propia práctica pedagógica.</w:t>
      </w:r>
    </w:p>
    <w:p w14:paraId="00000060" w14:textId="77777777" w:rsidR="00056B55" w:rsidRDefault="002D6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realización de un trabajo grupal integrador.</w:t>
      </w:r>
    </w:p>
    <w:p w14:paraId="00000061" w14:textId="77777777" w:rsidR="00056B55" w:rsidRDefault="002D6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Exposición oral en instancia de coloquio.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62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ACREDITACIÓN:</w:t>
      </w:r>
    </w:p>
    <w:p w14:paraId="00000063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acreditar la asignatura deberán:</w:t>
      </w:r>
    </w:p>
    <w:p w14:paraId="00000064" w14:textId="77777777" w:rsidR="00056B55" w:rsidRDefault="002D6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Tener el 60% de asistencia a las clases presenciales y de participación en el campus virtual</w:t>
      </w:r>
    </w:p>
    <w:p w14:paraId="00000065" w14:textId="77777777" w:rsidR="00056B55" w:rsidRDefault="002D6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Realizar las actividades de evaluación obligatoria en el campus virtual. </w:t>
      </w:r>
    </w:p>
    <w:p w14:paraId="00000066" w14:textId="77777777" w:rsidR="00056B55" w:rsidRDefault="002D6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Cumplir en tiempo y forma con las actividades solicitadas tanto en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presencialidad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como en el campus virtual.</w:t>
      </w:r>
    </w:p>
    <w:p w14:paraId="00000067" w14:textId="77777777" w:rsidR="00056B55" w:rsidRDefault="002D6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Aprobar las actividades de evaluación con una calificación superior a 4 (cuatro) puntos.</w:t>
      </w:r>
    </w:p>
    <w:p w14:paraId="00000068" w14:textId="77777777" w:rsidR="00056B55" w:rsidRDefault="002D6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Aprobar la realización del trabajo integrador grupal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 una calificación superior a 4 (cuatro) puntos.</w:t>
      </w:r>
    </w:p>
    <w:p w14:paraId="00000069" w14:textId="77777777" w:rsidR="00056B55" w:rsidRDefault="002D6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calificación cuatrimestral y final será de carácter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global debiendo obtener un mínimo de 4 puntos para acceder a la instancia de final</w:t>
      </w:r>
    </w:p>
    <w:p w14:paraId="0000006A" w14:textId="77777777" w:rsidR="00056B55" w:rsidRDefault="00056B5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B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CRITERIOS DE ACREDITACIÓN:</w:t>
      </w:r>
    </w:p>
    <w:p w14:paraId="0000006C" w14:textId="77777777" w:rsidR="00056B55" w:rsidRDefault="002D6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Uso de vocabulario específico emanado de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los textos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trabajados.</w:t>
      </w:r>
    </w:p>
    <w:p w14:paraId="0000006D" w14:textId="77777777" w:rsidR="00056B55" w:rsidRDefault="002D6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Lectura analítica de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los textos y conceptualización teórica.</w:t>
      </w:r>
    </w:p>
    <w:p w14:paraId="0000006E" w14:textId="77777777" w:rsidR="00056B55" w:rsidRDefault="002D6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Capacidad de transferencia y síntesis integradora de relaciones conceptuales y prácticas.</w:t>
      </w:r>
    </w:p>
    <w:p w14:paraId="0000006F" w14:textId="77777777" w:rsidR="00056B55" w:rsidRDefault="002D6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Elaboración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y entrega de trabajos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prácticos/ parciales en tiempo y forma.</w:t>
      </w:r>
    </w:p>
    <w:p w14:paraId="00000070" w14:textId="77777777" w:rsidR="00056B55" w:rsidRDefault="002D6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Compromiso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y responsabilidad del propio aprendizaje.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71" w14:textId="77777777" w:rsidR="00056B55" w:rsidRDefault="00056B5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RECURSOS</w:t>
      </w:r>
    </w:p>
    <w:p w14:paraId="00000073" w14:textId="77777777" w:rsidR="00056B55" w:rsidRDefault="002D67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Para la comunicación docente/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estudiantes  utilizaremos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 plataforma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comunicación a través de mail, Se utilizara bibliografía digitalizada, videos explicativos, films,  imágenes digitales, etc.</w:t>
      </w:r>
    </w:p>
    <w:p w14:paraId="00000074" w14:textId="77777777" w:rsidR="00056B55" w:rsidRDefault="002D670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PROYECTOS INTRA CÁTEDRA</w:t>
      </w:r>
    </w:p>
    <w:p w14:paraId="00000075" w14:textId="77777777" w:rsidR="00056B55" w:rsidRDefault="002D6701">
      <w:pPr>
        <w:spacing w:before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Coloquios y Seminarios; El sujeto de la diversidad Aprendizajes y trayectorias especiales.  Panel de docentes de Educación especial que hacen acompañamientos a estudiantes de Educación secundaria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76" w14:textId="77777777" w:rsidR="00056B55" w:rsidRDefault="00056B55"/>
    <w:sectPr w:rsidR="00056B55">
      <w:pgSz w:w="11909" w:h="16834"/>
      <w:pgMar w:top="1440" w:right="1115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2E50"/>
    <w:multiLevelType w:val="multilevel"/>
    <w:tmpl w:val="D9229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5F084A"/>
    <w:multiLevelType w:val="multilevel"/>
    <w:tmpl w:val="70C0F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073132"/>
    <w:multiLevelType w:val="multilevel"/>
    <w:tmpl w:val="F3D84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704502"/>
    <w:multiLevelType w:val="multilevel"/>
    <w:tmpl w:val="21BEE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B70766"/>
    <w:multiLevelType w:val="multilevel"/>
    <w:tmpl w:val="07D27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55"/>
    <w:rsid w:val="00056B55"/>
    <w:rsid w:val="002D6701"/>
    <w:rsid w:val="0069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9C64"/>
  <w15:docId w15:val="{A748EFAF-CED7-4C1C-8AF1-9B450290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stituto46.edu.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Alumno</cp:lastModifiedBy>
  <cp:revision>2</cp:revision>
  <dcterms:created xsi:type="dcterms:W3CDTF">2024-06-12T22:47:00Z</dcterms:created>
  <dcterms:modified xsi:type="dcterms:W3CDTF">2024-06-12T22:47:00Z</dcterms:modified>
</cp:coreProperties>
</file>